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1" w:rsidRDefault="0034736C">
      <w:pPr>
        <w:pStyle w:val="ConsPlusNormal"/>
        <w:jc w:val="center"/>
        <w:rPr>
          <w:rFonts w:ascii="Candara" w:hAnsi="Candara" w:cs="Candara"/>
        </w:rPr>
      </w:pPr>
      <w:bookmarkStart w:id="0" w:name="P60"/>
      <w:bookmarkEnd w:id="0"/>
      <w:r>
        <w:rPr>
          <w:rFonts w:ascii="Candara" w:hAnsi="Candara" w:cs="Candara"/>
        </w:rPr>
        <w:t>ОТЧЕТ</w:t>
      </w:r>
    </w:p>
    <w:p w:rsidR="00D27C81" w:rsidRDefault="0034736C">
      <w:pPr>
        <w:pStyle w:val="ConsPlusNormal"/>
        <w:jc w:val="center"/>
        <w:rPr>
          <w:rFonts w:ascii="Candara" w:hAnsi="Candara" w:cs="Candara"/>
        </w:rPr>
      </w:pPr>
      <w:r>
        <w:rPr>
          <w:rFonts w:ascii="Candara" w:hAnsi="Candara" w:cs="Candara"/>
        </w:rPr>
        <w:t>О ДЕЯТЕЛЬНОСТИ ПО УПРАВЛЕНИЮ МНОГОКВАРТИРНЫМ ДОМОМ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по </w:t>
            </w:r>
            <w:r w:rsidR="003D469A">
              <w:rPr>
                <w:rFonts w:ascii="Candara" w:hAnsi="Candara" w:cs="Candara"/>
              </w:rPr>
              <w:t xml:space="preserve">адресу: </w:t>
            </w:r>
            <w:r w:rsidR="0072190D">
              <w:rPr>
                <w:szCs w:val="24"/>
              </w:rPr>
              <w:t xml:space="preserve">Краснодарский край, город Сочи, Адлерский район, </w:t>
            </w:r>
            <w:r w:rsidR="006B1539">
              <w:rPr>
                <w:bCs/>
                <w:i/>
                <w:color w:val="000000"/>
                <w:szCs w:val="24"/>
                <w:u w:val="single"/>
              </w:rPr>
              <w:t xml:space="preserve">пгт.Красная Поляна ул.Турчинского дом </w:t>
            </w:r>
            <w:r w:rsidR="009E38E4">
              <w:rPr>
                <w:bCs/>
                <w:i/>
                <w:color w:val="000000"/>
                <w:szCs w:val="24"/>
                <w:u w:val="single"/>
              </w:rPr>
              <w:t>85</w:t>
            </w:r>
          </w:p>
          <w:p w:rsidR="00D27C81" w:rsidRDefault="0034736C" w:rsidP="0072190D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за 202</w:t>
            </w:r>
            <w:r w:rsidR="0072190D">
              <w:rPr>
                <w:rFonts w:ascii="Candara" w:hAnsi="Candara" w:cs="Candara"/>
              </w:rPr>
              <w:t>5</w:t>
            </w:r>
            <w:r>
              <w:rPr>
                <w:rFonts w:ascii="Candara" w:hAnsi="Candara" w:cs="Candara"/>
              </w:rPr>
              <w:t xml:space="preserve"> год</w:t>
            </w:r>
            <w:r>
              <w:rPr>
                <w:rStyle w:val="a3"/>
                <w:rFonts w:ascii="Candara" w:hAnsi="Candara" w:cs="Candara"/>
              </w:rPr>
              <w:footnoteReference w:id="1"/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 w:rsidP="00B87672">
            <w:pPr>
              <w:pStyle w:val="ConsPlusNormal"/>
              <w:ind w:firstLine="708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ООО «Апарт Поляна»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szCs w:val="24"/>
              </w:rPr>
              <w:t xml:space="preserve">Краснодарский край, город Сочи, Адлерский район, пгт. Красная Поляна, ул. Турчинского 78 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(адрес приема населения лицом, осуществляющим управление МКД, по вопросам отчета)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283B21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ОГРН </w:t>
            </w:r>
            <w:r>
              <w:rPr>
                <w:bCs/>
                <w:szCs w:val="24"/>
              </w:rPr>
              <w:t>1182375003128 ИНН 2367000961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(ОГРН/ИНН)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Лицо, уполномоченное давать разъяснения по отчету: </w:t>
            </w:r>
            <w:r w:rsidR="00677E1D">
              <w:rPr>
                <w:rFonts w:ascii="Candara" w:hAnsi="Candara" w:cs="Candara"/>
              </w:rPr>
              <w:t xml:space="preserve">                                                    </w:t>
            </w:r>
            <w:r w:rsidR="00283B21" w:rsidRPr="00677E1D">
              <w:rPr>
                <w:rFonts w:ascii="Candara" w:hAnsi="Candara" w:cs="Candara"/>
                <w:u w:val="single"/>
              </w:rPr>
              <w:t>Никифорова Анна Алексеевна</w:t>
            </w:r>
            <w:r w:rsidR="00677E1D">
              <w:rPr>
                <w:rFonts w:ascii="Candara" w:hAnsi="Candara" w:cs="Candara"/>
                <w:u w:val="single"/>
              </w:rPr>
              <w:t>,  заместитель генерального директора</w:t>
            </w: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(фамилия, имя, отчество, должность)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677E1D" w:rsidP="00677E1D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8 (918)408-08-09, </w:t>
            </w:r>
            <w:r w:rsidRPr="00677E1D">
              <w:rPr>
                <w:rFonts w:ascii="Candara" w:hAnsi="Candara" w:cs="Candara"/>
              </w:rPr>
              <w:t>Ykapartpolyana@yandex.ru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(телефон, электронная почта (при наличии) лица, уполномоченного давать разъяснения)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 w:rsidP="00006688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006688">
              <w:rPr>
                <w:rFonts w:ascii="Candara" w:hAnsi="Candara" w:cs="Candara"/>
              </w:rPr>
              <w:t>1 783,20</w:t>
            </w:r>
            <w:r w:rsidR="00896AB3">
              <w:rPr>
                <w:rFonts w:ascii="Candara" w:hAnsi="Candara" w:cs="Candara"/>
              </w:rPr>
              <w:t xml:space="preserve"> </w:t>
            </w:r>
            <w:r>
              <w:rPr>
                <w:rFonts w:ascii="Candara" w:hAnsi="Candara" w:cs="Candara"/>
              </w:rPr>
              <w:t>м</w:t>
            </w:r>
            <w:r>
              <w:rPr>
                <w:rFonts w:ascii="Candara" w:hAnsi="Candara" w:cs="Candara"/>
                <w:vertAlign w:val="superscript"/>
              </w:rPr>
              <w:t>2</w:t>
            </w:r>
          </w:p>
        </w:tc>
      </w:tr>
    </w:tbl>
    <w:p w:rsidR="00D27C81" w:rsidRDefault="00D27C81">
      <w:pPr>
        <w:pStyle w:val="ConsPlusNormal"/>
        <w:jc w:val="both"/>
        <w:rPr>
          <w:rFonts w:ascii="Candara" w:hAnsi="Candara" w:cs="Candar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Дата размещения отчета: "__" ______________ ____ г.</w:t>
            </w:r>
          </w:p>
        </w:tc>
      </w:tr>
    </w:tbl>
    <w:p w:rsidR="00D27C81" w:rsidRDefault="00D27C81">
      <w:pPr>
        <w:pStyle w:val="ConsPlusNormal"/>
        <w:ind w:firstLine="283"/>
        <w:jc w:val="both"/>
        <w:rPr>
          <w:rFonts w:ascii="Candara" w:hAnsi="Candara" w:cs="Candara"/>
        </w:rPr>
        <w:sectPr w:rsidR="00D27C81">
          <w:headerReference w:type="first" r:id="rId9"/>
          <w:footerReference w:type="first" r:id="rId10"/>
          <w:pgSz w:w="11906" w:h="16838"/>
          <w:pgMar w:top="1640" w:right="506" w:bottom="1440" w:left="1800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28"/>
      </w:tblGrid>
      <w:tr w:rsidR="00D27C81">
        <w:tc>
          <w:tcPr>
            <w:tcW w:w="14128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lastRenderedPageBreak/>
              <w:t xml:space="preserve">1. За отчетный период выполнены следующие работы (оказаны следующие услуги) по содержанию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"/>
        <w:gridCol w:w="3906"/>
        <w:gridCol w:w="1375"/>
        <w:gridCol w:w="1222"/>
        <w:gridCol w:w="2258"/>
        <w:gridCol w:w="1331"/>
        <w:gridCol w:w="2596"/>
        <w:gridCol w:w="1288"/>
      </w:tblGrid>
      <w:tr w:rsidR="00D27C81" w:rsidRPr="00D07F3D" w:rsidTr="00D07F3D">
        <w:trPr>
          <w:jc w:val="center"/>
        </w:trPr>
        <w:tc>
          <w:tcPr>
            <w:tcW w:w="414" w:type="dxa"/>
            <w:vMerge w:val="restart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N п/п</w:t>
            </w:r>
          </w:p>
        </w:tc>
        <w:tc>
          <w:tcPr>
            <w:tcW w:w="3906" w:type="dxa"/>
            <w:vMerge w:val="restart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Наименование работы (услуги)</w:t>
            </w:r>
          </w:p>
          <w:p w:rsidR="00D27C81" w:rsidRPr="00D07F3D" w:rsidRDefault="00D27C81" w:rsidP="00D07F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>Если переченьне определен, указать «Содержание общего имущества»</w:t>
            </w:r>
          </w:p>
        </w:tc>
        <w:tc>
          <w:tcPr>
            <w:tcW w:w="1375" w:type="dxa"/>
            <w:vMerge w:val="restart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Единица измерения работы (услуги)</w:t>
            </w:r>
          </w:p>
          <w:p w:rsidR="00D27C81" w:rsidRPr="00D07F3D" w:rsidRDefault="00D27C81" w:rsidP="00D07F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>Если перечень не определен, то «м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  <w:vertAlign w:val="superscript"/>
              </w:rPr>
              <w:t>2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>»</w:t>
            </w:r>
          </w:p>
        </w:tc>
        <w:tc>
          <w:tcPr>
            <w:tcW w:w="1222" w:type="dxa"/>
            <w:vMerge w:val="restart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Цена (стоимость) единицы работы (услуги), руб.</w:t>
            </w:r>
          </w:p>
        </w:tc>
        <w:tc>
          <w:tcPr>
            <w:tcW w:w="3589" w:type="dxa"/>
            <w:gridSpan w:val="2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По перечню работ (услуг)</w:t>
            </w:r>
          </w:p>
        </w:tc>
        <w:tc>
          <w:tcPr>
            <w:tcW w:w="3884" w:type="dxa"/>
            <w:gridSpan w:val="2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Выполнено</w:t>
            </w:r>
          </w:p>
        </w:tc>
      </w:tr>
      <w:tr w:rsidR="00D27C81" w:rsidRPr="00D07F3D" w:rsidTr="00D07F3D">
        <w:trPr>
          <w:jc w:val="center"/>
        </w:trPr>
        <w:tc>
          <w:tcPr>
            <w:tcW w:w="414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Количество единиц работы (оказанной услуги)</w:t>
            </w:r>
          </w:p>
          <w:p w:rsidR="00D27C81" w:rsidRPr="00D07F3D" w:rsidRDefault="00D27C81" w:rsidP="00D07F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>(если размер платы не позволяет расшифровать стоимость включенных работ, то указывается площадь помещений (м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  <w:vertAlign w:val="superscript"/>
              </w:rPr>
              <w:t>2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>), собственники которых обязаны вносить плату за содержание)</w:t>
            </w:r>
          </w:p>
        </w:tc>
        <w:tc>
          <w:tcPr>
            <w:tcW w:w="1331" w:type="dxa"/>
            <w:tcBorders>
              <w:bottom w:val="nil"/>
            </w:tcBorders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Стоимость работы (оказанной услуги), руб.</w:t>
            </w:r>
          </w:p>
        </w:tc>
        <w:tc>
          <w:tcPr>
            <w:tcW w:w="2596" w:type="dxa"/>
            <w:vMerge w:val="restart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Количество единиц работы (оказанной услуги)</w:t>
            </w:r>
          </w:p>
          <w:p w:rsidR="00D27C81" w:rsidRPr="00D07F3D" w:rsidRDefault="00D27C81" w:rsidP="00D07F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>(фактически выполненные- с учетом невыполненных работ, зафиксированных в акте нарушения качества, а также работпо предписанию контрольных органов, если такие работы не предусмотрены договором или решениями ОСС)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Стоимость работы (оказанной услуги), руб.</w:t>
            </w:r>
          </w:p>
        </w:tc>
      </w:tr>
      <w:tr w:rsidR="00D27C81" w:rsidRPr="00D07F3D" w:rsidTr="00D07F3D">
        <w:trPr>
          <w:jc w:val="center"/>
        </w:trPr>
        <w:tc>
          <w:tcPr>
            <w:tcW w:w="414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8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</w:tcBorders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(графа 4 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br/>
            </w:r>
            <w:r w:rsidRPr="00D07F3D">
              <w:rPr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х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 графа 5)</w:t>
            </w:r>
          </w:p>
        </w:tc>
        <w:tc>
          <w:tcPr>
            <w:tcW w:w="2596" w:type="dxa"/>
            <w:vMerge/>
            <w:vAlign w:val="center"/>
          </w:tcPr>
          <w:p w:rsidR="00D27C81" w:rsidRPr="00D07F3D" w:rsidRDefault="00D27C81" w:rsidP="00D07F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</w:tcBorders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(графа 4 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br/>
            </w:r>
            <w:r w:rsidRPr="00D07F3D">
              <w:rPr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х</w:t>
            </w:r>
            <w:r w:rsidRPr="00D07F3D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 графа 7)</w:t>
            </w:r>
          </w:p>
        </w:tc>
      </w:tr>
      <w:tr w:rsidR="00D27C81" w:rsidRPr="00D07F3D" w:rsidTr="00D07F3D">
        <w:trPr>
          <w:jc w:val="center"/>
        </w:trPr>
        <w:tc>
          <w:tcPr>
            <w:tcW w:w="414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</w:t>
            </w:r>
          </w:p>
        </w:tc>
        <w:tc>
          <w:tcPr>
            <w:tcW w:w="3906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4</w:t>
            </w:r>
          </w:p>
        </w:tc>
        <w:tc>
          <w:tcPr>
            <w:tcW w:w="2258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5</w:t>
            </w:r>
          </w:p>
        </w:tc>
        <w:tc>
          <w:tcPr>
            <w:tcW w:w="1331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6</w:t>
            </w:r>
          </w:p>
        </w:tc>
        <w:tc>
          <w:tcPr>
            <w:tcW w:w="2596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7</w:t>
            </w:r>
          </w:p>
        </w:tc>
        <w:tc>
          <w:tcPr>
            <w:tcW w:w="1288" w:type="dxa"/>
            <w:vAlign w:val="center"/>
          </w:tcPr>
          <w:p w:rsidR="00D27C81" w:rsidRPr="00D07F3D" w:rsidRDefault="0034736C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8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отношении всех видов фундаментов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5,52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9 843,24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9 843,24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2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для надлежащего содержания стен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11,64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20 756,40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20 756,40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3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перекрытий и покрытий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20 970,48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20 970,48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4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крыш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6,36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11 341,20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11 341,20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5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Работы, выполняемые в целях 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надлежащего содержания лестниц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10,26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18 295,68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18 295,68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фасадов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13,14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23 431,20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23 431,20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7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перегородок в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8 666,40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8 666,40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8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24 073,20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24 073,20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9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полов помещений,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7,80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13 908,96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13 908,96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10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10,44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18 616,56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18 616,56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11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выполняемые в целях надлежащего содержания систем вентиляции и дымоудаления, относящихся к общему имуществу МКД, проверка исправности канализационной вытяжки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39,24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69 972,72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69 972,72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12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осмотр системы центрального отопления, водоснабжения и водоотведения в помещениях, относящихся к общему имуществу МКД, консервация и расконсервация систем центрального 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отопления,ликвидация воздушных пробок в радиаторах и стояках, прочистка канализационного лежака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106,68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190 231,80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190 231,80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МКД, смена электроламп в местах общего пользования, электро-измерительные испытания, 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осмотр линий электросети, арматуры и электрооборудования на лестничных клетках и других общедомовых помещениях, проверка целостности корпуса щита, целостности внутреннего монтажа и заземления щита, очистка от пыли и грязи, измерение напряжения на щите, проверка работоспособности, замена плавких вставок в электрощитках на общем имуществе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92,76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165 409,68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165 409,68</w:t>
            </w:r>
          </w:p>
        </w:tc>
      </w:tr>
      <w:tr w:rsidR="00D07F3D" w:rsidRPr="00D07F3D" w:rsidTr="00D07F3D">
        <w:trPr>
          <w:trHeight w:val="651"/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14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подметание лестничных площадок и маршей с предварительным увлажнением,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21,24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37 875,12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37 875,12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15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7 703,40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7 703,40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16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проведение дератизации и дезинсекции помещений, входящих в состав общего 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имущества в многоквартирном доме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28,80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51 356,16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51 356,16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</w:t>
            </w:r>
            <w:r w:rsidRPr="00D07F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 холодный период года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33,30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59 380,56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59 380,56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18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</w:t>
            </w:r>
            <w:r w:rsidRPr="00D07F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 теплый период года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24,90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44 401,68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44 401,68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19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28,44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50 714,16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50 714,16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20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МКД, выполнения заявок населения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71,52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127 534,44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127 534,44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21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Проверка состояний и при необходимости выполнения работ по </w:t>
            </w: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восстановлению конструкций и (или) иного оборудования, предназначенного для обеспечения условий-доступности для инвалидов помещения МКД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3,24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5 777,52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5 777,52</w:t>
            </w:r>
          </w:p>
        </w:tc>
      </w:tr>
      <w:tr w:rsidR="00D07F3D" w:rsidRPr="00D07F3D" w:rsidTr="00D07F3D">
        <w:trPr>
          <w:jc w:val="center"/>
        </w:trPr>
        <w:tc>
          <w:tcPr>
            <w:tcW w:w="414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90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Услуги консьержа</w:t>
            </w:r>
          </w:p>
        </w:tc>
        <w:tc>
          <w:tcPr>
            <w:tcW w:w="1375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210,30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375 000,00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1 783,20</w:t>
            </w: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375 000,00</w:t>
            </w:r>
          </w:p>
        </w:tc>
      </w:tr>
      <w:tr w:rsidR="00D07F3D" w:rsidRPr="00D07F3D" w:rsidTr="00D07F3D">
        <w:trPr>
          <w:jc w:val="center"/>
        </w:trPr>
        <w:tc>
          <w:tcPr>
            <w:tcW w:w="6917" w:type="dxa"/>
            <w:gridSpan w:val="4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  <w:r w:rsidRPr="00D07F3D">
              <w:rPr>
                <w:sz w:val="22"/>
                <w:szCs w:val="22"/>
              </w:rPr>
              <w:t>ИТОГО</w:t>
            </w:r>
          </w:p>
        </w:tc>
        <w:tc>
          <w:tcPr>
            <w:tcW w:w="2258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1 355 260,56</w:t>
            </w:r>
          </w:p>
        </w:tc>
        <w:tc>
          <w:tcPr>
            <w:tcW w:w="2596" w:type="dxa"/>
            <w:vAlign w:val="center"/>
          </w:tcPr>
          <w:p w:rsidR="00D07F3D" w:rsidRPr="00D07F3D" w:rsidRDefault="00D07F3D" w:rsidP="00D07F3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D07F3D" w:rsidRPr="00D07F3D" w:rsidRDefault="00D07F3D" w:rsidP="00D07F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7F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1 355 260,56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8"/>
          <w:szCs w:val="13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numPr>
                <w:ilvl w:val="0"/>
                <w:numId w:val="1"/>
              </w:numPr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За отчетный период выполнены следующие работы по текущему ремонту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0"/>
                <w:szCs w:val="4"/>
              </w:rPr>
            </w:pPr>
          </w:p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Остаток (перерасход (сальдо) средств на финансирование текущего ремонта на 1 января отчетного периода: </w:t>
            </w:r>
            <w:r w:rsidR="00B22693">
              <w:rPr>
                <w:rFonts w:ascii="Candara" w:hAnsi="Candara" w:cs="Candara"/>
              </w:rPr>
              <w:t>0,00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(указывается остаток средств на финансирование работ по текущему ремонту на 1 января отчетного периода с учетом всех выполненных работ. Если на 1 января отчетного периода имелся перерасход, тозначение указывается со знаком «-», если средства не израсходованы полностью, тозначение указывается со знаком «+».Если в размере платы за содержание жилого помещения не выделенразмер платы за текущий ремонт, тогда указывается «0»)</w:t>
            </w:r>
          </w:p>
          <w:p w:rsidR="00D27C81" w:rsidRDefault="00D27C81">
            <w:pPr>
              <w:pStyle w:val="ConsPlusNormal"/>
              <w:ind w:rightChars="287" w:right="574" w:firstLine="283"/>
              <w:jc w:val="both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Общий объем денежных средств, подлежащий внесению собственниками помещений в МКД в качестве платы за текущий ремонт общего имущества МКД в составе платы за содержание жилого помещения, за отчетный период: </w:t>
            </w:r>
            <w:r w:rsidR="00BD3631">
              <w:rPr>
                <w:rFonts w:ascii="Candara" w:hAnsi="Candara" w:cs="Candara"/>
              </w:rPr>
              <w:t>646 437,94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(если в размере платы за содержание жилого помещения не выделен размер платы за текущий ремонт, то указывается фактический объем средств, израсходованный в отчетном периоде на финансирование работ по текущему ремонту)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Стоимость работ по текущему ремонту, выполненных за отчетный период: </w:t>
            </w:r>
            <w:r w:rsidR="00BD3631">
              <w:rPr>
                <w:rFonts w:ascii="Candara" w:hAnsi="Candara" w:cs="Candara"/>
              </w:rPr>
              <w:t>646 437,94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D27C81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7" w:right="-1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Остаток (перерасход (сальдо) средств на финансирование текущего ремонта на 31 декабря отчетного периода: </w:t>
            </w:r>
            <w:r w:rsidR="00BD3631">
              <w:rPr>
                <w:rFonts w:ascii="Candara" w:hAnsi="Candara" w:cs="Candara"/>
              </w:rPr>
              <w:t>- 33 061,43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(сумма остатка (перерасхода) за вычетом стоимости работ по текущему ремонту, выполненных за отчетный период: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 xml:space="preserve">- если на 31 декабря был перерасход средств,тозначениеуказывается со знаком «-»,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на 31 декабря с учетом всех выполненных работ за отчетный период остались средства, то значение указывается со знаком «+»;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в размере платы за содержание жилого помещения не выделен размер платы за текущий ремонт, тоуказывается «0»)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3621"/>
        <w:gridCol w:w="4472"/>
        <w:gridCol w:w="1648"/>
        <w:gridCol w:w="1328"/>
        <w:gridCol w:w="2904"/>
      </w:tblGrid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N п/п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Наименование работы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Основание проведения работы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93" w:right="186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(в соответствии с договором управления МКД,решениями ОСС, либо в соответствии с годовым планом содержания и ремонта ТСЖ/кооператива,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либо по требованию контрольных (надзорных) органов)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Стоимость работы по текущему ремонту общего имущества, руб.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Реквизиты акта выполненных работ или адрес сайта в сети "Интернет", где размещен такой акт, при наличии подписанного акта</w:t>
            </w:r>
          </w:p>
        </w:tc>
      </w:tr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1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2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3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5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6</w:t>
            </w:r>
          </w:p>
        </w:tc>
      </w:tr>
      <w:tr w:rsidR="00D27C81">
        <w:tc>
          <w:tcPr>
            <w:tcW w:w="547" w:type="dxa"/>
          </w:tcPr>
          <w:p w:rsidR="00D27C81" w:rsidRDefault="00BD363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lastRenderedPageBreak/>
              <w:t>1</w:t>
            </w:r>
          </w:p>
        </w:tc>
        <w:tc>
          <w:tcPr>
            <w:tcW w:w="3621" w:type="dxa"/>
          </w:tcPr>
          <w:p w:rsidR="00D27C81" w:rsidRDefault="00BD363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Ремонт деревянных конструкций</w:t>
            </w:r>
          </w:p>
        </w:tc>
        <w:tc>
          <w:tcPr>
            <w:tcW w:w="4472" w:type="dxa"/>
          </w:tcPr>
          <w:p w:rsidR="00D27C81" w:rsidRDefault="00BD363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Решение ОСС</w:t>
            </w:r>
          </w:p>
        </w:tc>
        <w:tc>
          <w:tcPr>
            <w:tcW w:w="1648" w:type="dxa"/>
          </w:tcPr>
          <w:p w:rsidR="00D27C81" w:rsidRDefault="00BD363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646 437,94</w:t>
            </w:r>
          </w:p>
        </w:tc>
        <w:tc>
          <w:tcPr>
            <w:tcW w:w="1328" w:type="dxa"/>
          </w:tcPr>
          <w:p w:rsidR="00D27C81" w:rsidRDefault="00BD363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</w:t>
            </w:r>
          </w:p>
        </w:tc>
        <w:tc>
          <w:tcPr>
            <w:tcW w:w="2904" w:type="dxa"/>
          </w:tcPr>
          <w:p w:rsidR="00D27C81" w:rsidRDefault="00BD363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31.12.2025</w:t>
            </w:r>
          </w:p>
        </w:tc>
      </w:tr>
      <w:tr w:rsidR="00D27C81">
        <w:tc>
          <w:tcPr>
            <w:tcW w:w="8640" w:type="dxa"/>
            <w:gridSpan w:val="3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648" w:type="dxa"/>
          </w:tcPr>
          <w:p w:rsidR="00D27C81" w:rsidRDefault="00BD363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646 437,94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20"/>
      </w:tblGrid>
      <w:tr w:rsidR="00D27C81">
        <w:tc>
          <w:tcPr>
            <w:tcW w:w="1452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D07F3D" w:rsidRDefault="0034736C" w:rsidP="00D07F3D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F3D">
              <w:rPr>
                <w:rFonts w:ascii="Candara" w:hAnsi="Candara" w:cs="Candara"/>
                <w:b/>
                <w:bCs/>
              </w:rPr>
              <w:t xml:space="preserve">Стоимость услуг по управлению </w:t>
            </w:r>
            <w:r w:rsidRPr="00D07F3D">
              <w:rPr>
                <w:rFonts w:ascii="Candara" w:hAnsi="Candara" w:cs="Candara"/>
              </w:rPr>
              <w:t>многоквартирным домом, оказанных за отчетный период:</w:t>
            </w:r>
            <w:r w:rsidR="00743D27" w:rsidRPr="00D07F3D">
              <w:rPr>
                <w:rFonts w:ascii="Candara" w:hAnsi="Candara" w:cs="Candara"/>
              </w:rPr>
              <w:t xml:space="preserve"> </w:t>
            </w:r>
            <w:r w:rsidR="00D07F3D" w:rsidRPr="00D07F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303 643,32 </w:t>
            </w:r>
            <w:r w:rsidR="00743D27" w:rsidRPr="00D07F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07F3D">
              <w:rPr>
                <w:rFonts w:ascii="Candara" w:hAnsi="Candara" w:cs="Candara"/>
              </w:rPr>
              <w:t>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(стоимость всех фактически оказанных за отчетный период услуг по управлению МКД, предусмотренных Правилами осуществления деятельности по управлению МКД № 416)</w:t>
            </w:r>
          </w:p>
          <w:p w:rsidR="00D27C81" w:rsidRDefault="00D27C81">
            <w:pPr>
              <w:pStyle w:val="ConsPlusNormal"/>
              <w:ind w:left="283"/>
              <w:jc w:val="both"/>
              <w:rPr>
                <w:rFonts w:ascii="Candara" w:hAnsi="Candara" w:cs="Candara"/>
                <w:sz w:val="21"/>
                <w:szCs w:val="16"/>
              </w:rPr>
            </w:pPr>
          </w:p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4. Сведения о претензионно-исковой работе </w:t>
            </w:r>
            <w:r>
              <w:rPr>
                <w:rFonts w:ascii="Candara" w:hAnsi="Candara" w:cs="Candara"/>
              </w:rPr>
              <w:t>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318"/>
        <w:gridCol w:w="3622"/>
        <w:gridCol w:w="7004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претензий потребителям-должникам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0"/>
                <w:szCs w:val="1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(общая сумма поступивших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окончания отчетного периода)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1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2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3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4</w:t>
            </w:r>
          </w:p>
        </w:tc>
      </w:tr>
      <w:tr w:rsidR="00D27C81">
        <w:tc>
          <w:tcPr>
            <w:tcW w:w="566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318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  <w:tc>
          <w:tcPr>
            <w:tcW w:w="3622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  <w:tc>
          <w:tcPr>
            <w:tcW w:w="7004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6"/>
          <w:szCs w:val="11"/>
        </w:rPr>
      </w:pP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583"/>
        <w:gridCol w:w="1844"/>
        <w:gridCol w:w="4375"/>
        <w:gridCol w:w="1560"/>
        <w:gridCol w:w="1666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Вид платежа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Задолженность на начало отчетного периода, руб.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Размер начисленных средств, руб.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размер средств, предъявленных к оплате собственникам и нанимателям за выполненные работы (оказанные услуги) по содержанию, управлению и текущему ремонту, в том числе за дополнительные услуги (оказанные на основании решений общих собраний), без учета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lastRenderedPageBreak/>
              <w:t>задолженности, указанной в столбце 3 таблицы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lastRenderedPageBreak/>
              <w:t>Размер поступивших средств, руб.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Задолженность на 1 января периода, следующего за отчетным, руб.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lastRenderedPageBreak/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2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3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4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5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6</w:t>
            </w:r>
          </w:p>
        </w:tc>
      </w:tr>
      <w:tr w:rsidR="00D27C81">
        <w:tc>
          <w:tcPr>
            <w:tcW w:w="566" w:type="dxa"/>
            <w:vAlign w:val="center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Платежи собственников помещений в многоквартирном доме</w:t>
            </w:r>
          </w:p>
        </w:tc>
        <w:tc>
          <w:tcPr>
            <w:tcW w:w="1844" w:type="dxa"/>
          </w:tcPr>
          <w:p w:rsidR="00D27C81" w:rsidRDefault="005C6778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370 777,26</w:t>
            </w:r>
          </w:p>
        </w:tc>
        <w:tc>
          <w:tcPr>
            <w:tcW w:w="4375" w:type="dxa"/>
          </w:tcPr>
          <w:p w:rsidR="00D27C81" w:rsidRDefault="005C6778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1 547 687,80</w:t>
            </w:r>
          </w:p>
        </w:tc>
        <w:tc>
          <w:tcPr>
            <w:tcW w:w="1560" w:type="dxa"/>
          </w:tcPr>
          <w:p w:rsidR="00D27C81" w:rsidRDefault="005C6778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1 450 599,26</w:t>
            </w:r>
          </w:p>
        </w:tc>
        <w:tc>
          <w:tcPr>
            <w:tcW w:w="1666" w:type="dxa"/>
          </w:tcPr>
          <w:p w:rsidR="00D27C81" w:rsidRDefault="005C6778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467 865,80</w:t>
            </w:r>
          </w:p>
        </w:tc>
      </w:tr>
      <w:tr w:rsidR="005C6778">
        <w:tc>
          <w:tcPr>
            <w:tcW w:w="5149" w:type="dxa"/>
            <w:gridSpan w:val="2"/>
          </w:tcPr>
          <w:p w:rsidR="005C6778" w:rsidRDefault="005C6778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844" w:type="dxa"/>
          </w:tcPr>
          <w:p w:rsidR="005C6778" w:rsidRDefault="005C6778" w:rsidP="00847DC6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370 777,26</w:t>
            </w:r>
          </w:p>
        </w:tc>
        <w:tc>
          <w:tcPr>
            <w:tcW w:w="4375" w:type="dxa"/>
          </w:tcPr>
          <w:p w:rsidR="005C6778" w:rsidRDefault="005C6778" w:rsidP="00847DC6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1 547 687,80</w:t>
            </w:r>
          </w:p>
        </w:tc>
        <w:tc>
          <w:tcPr>
            <w:tcW w:w="1560" w:type="dxa"/>
          </w:tcPr>
          <w:p w:rsidR="005C6778" w:rsidRDefault="005C6778" w:rsidP="00847DC6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1 450 599,26</w:t>
            </w:r>
          </w:p>
        </w:tc>
        <w:tc>
          <w:tcPr>
            <w:tcW w:w="1666" w:type="dxa"/>
          </w:tcPr>
          <w:p w:rsidR="005C6778" w:rsidRDefault="005C6778" w:rsidP="00847DC6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467 865,80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</w:rPr>
      </w:pPr>
    </w:p>
    <w:sectPr w:rsidR="00D27C81" w:rsidSect="00D15CAD">
      <w:type w:val="continuous"/>
      <w:pgSz w:w="16838" w:h="11906" w:orient="landscape"/>
      <w:pgMar w:top="828" w:right="1040" w:bottom="1082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66" w:rsidRDefault="009A6666">
      <w:r>
        <w:separator/>
      </w:r>
    </w:p>
  </w:endnote>
  <w:endnote w:type="continuationSeparator" w:id="0">
    <w:p w:rsidR="009A6666" w:rsidRDefault="009A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34736C"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66" w:rsidRDefault="009A6666">
      <w:r>
        <w:separator/>
      </w:r>
    </w:p>
  </w:footnote>
  <w:footnote w:type="continuationSeparator" w:id="0">
    <w:p w:rsidR="009A6666" w:rsidRDefault="009A6666">
      <w:r>
        <w:continuationSeparator/>
      </w:r>
    </w:p>
  </w:footnote>
  <w:footnote w:id="1">
    <w:p w:rsidR="00D27C81" w:rsidRDefault="0034736C">
      <w:pPr>
        <w:pStyle w:val="a4"/>
        <w:rPr>
          <w:color w:val="4F6228" w:themeColor="accent3" w:themeShade="80"/>
        </w:rPr>
      </w:pPr>
      <w:r>
        <w:rPr>
          <w:rStyle w:val="a3"/>
          <w:color w:val="4F6228" w:themeColor="accent3" w:themeShade="80"/>
        </w:rPr>
        <w:footnoteRef/>
      </w:r>
      <w:r>
        <w:rPr>
          <w:color w:val="4F6228" w:themeColor="accent3" w:themeShade="80"/>
        </w:rPr>
        <w:t xml:space="preserve"> Отчетным периодом является год, предшествующий году размещения отчета. Началом отчетного периода является 1 января года, предшествующего году размещения отчета, а в случае, если дата управления МКД наступила позже – дата начала управления МКД, концом периода является 31 декабря года, предшествующего году размещения отчета.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514D2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<v:textbox style="mso-fit-shape-to-text:t" inset="0,0,0,0">
            <w:txbxContent>
              <w:p w:rsidR="00D27C81" w:rsidRDefault="00514D26">
                <w:pPr>
                  <w:pStyle w:val="a5"/>
                </w:pPr>
                <w:r>
                  <w:fldChar w:fldCharType="begin"/>
                </w:r>
                <w:r w:rsidR="0034736C">
                  <w:instrText xml:space="preserve"> PAGE  \* MERGEFORMAT </w:instrText>
                </w:r>
                <w:r>
                  <w:fldChar w:fldCharType="separate"/>
                </w:r>
                <w:r w:rsidR="0034736C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6B9C"/>
    <w:multiLevelType w:val="singleLevel"/>
    <w:tmpl w:val="3ADC6B9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7C81"/>
    <w:rsid w:val="00006688"/>
    <w:rsid w:val="00012BB1"/>
    <w:rsid w:val="00064A20"/>
    <w:rsid w:val="00082BA0"/>
    <w:rsid w:val="001F0323"/>
    <w:rsid w:val="002014AC"/>
    <w:rsid w:val="00244FAA"/>
    <w:rsid w:val="00283B21"/>
    <w:rsid w:val="002D4B7E"/>
    <w:rsid w:val="003334F2"/>
    <w:rsid w:val="0034736C"/>
    <w:rsid w:val="00353958"/>
    <w:rsid w:val="00372AEB"/>
    <w:rsid w:val="003D469A"/>
    <w:rsid w:val="00402A1A"/>
    <w:rsid w:val="004D275C"/>
    <w:rsid w:val="00514D26"/>
    <w:rsid w:val="00580F5A"/>
    <w:rsid w:val="005C6778"/>
    <w:rsid w:val="005F67F8"/>
    <w:rsid w:val="00630535"/>
    <w:rsid w:val="00675BBD"/>
    <w:rsid w:val="00677E1D"/>
    <w:rsid w:val="00677E55"/>
    <w:rsid w:val="006B1539"/>
    <w:rsid w:val="0072190D"/>
    <w:rsid w:val="0074201B"/>
    <w:rsid w:val="00743D27"/>
    <w:rsid w:val="00745FA2"/>
    <w:rsid w:val="007848F5"/>
    <w:rsid w:val="0086054C"/>
    <w:rsid w:val="0089008B"/>
    <w:rsid w:val="00896AB3"/>
    <w:rsid w:val="00986061"/>
    <w:rsid w:val="009A6666"/>
    <w:rsid w:val="009E38E4"/>
    <w:rsid w:val="00A2437A"/>
    <w:rsid w:val="00A46F9E"/>
    <w:rsid w:val="00A5482F"/>
    <w:rsid w:val="00A817C6"/>
    <w:rsid w:val="00A856FA"/>
    <w:rsid w:val="00AB0A0E"/>
    <w:rsid w:val="00AB11DA"/>
    <w:rsid w:val="00AE1083"/>
    <w:rsid w:val="00B22693"/>
    <w:rsid w:val="00B87672"/>
    <w:rsid w:val="00BA3985"/>
    <w:rsid w:val="00BD3631"/>
    <w:rsid w:val="00C04660"/>
    <w:rsid w:val="00C50F35"/>
    <w:rsid w:val="00D07F3D"/>
    <w:rsid w:val="00D15CAD"/>
    <w:rsid w:val="00D27C81"/>
    <w:rsid w:val="00D343D1"/>
    <w:rsid w:val="00D65585"/>
    <w:rsid w:val="00DC2480"/>
    <w:rsid w:val="00DC3816"/>
    <w:rsid w:val="00E446A8"/>
    <w:rsid w:val="00F90728"/>
    <w:rsid w:val="00FE6DD1"/>
    <w:rsid w:val="0577271C"/>
    <w:rsid w:val="0AAE1FF4"/>
    <w:rsid w:val="10F67B33"/>
    <w:rsid w:val="122E0441"/>
    <w:rsid w:val="14884637"/>
    <w:rsid w:val="165840B5"/>
    <w:rsid w:val="1DA62AB3"/>
    <w:rsid w:val="277E5916"/>
    <w:rsid w:val="2C500BC4"/>
    <w:rsid w:val="2DE72E0B"/>
    <w:rsid w:val="331658DE"/>
    <w:rsid w:val="3695459B"/>
    <w:rsid w:val="41CA05D9"/>
    <w:rsid w:val="52E82B11"/>
    <w:rsid w:val="65D774B5"/>
    <w:rsid w:val="6D24010F"/>
    <w:rsid w:val="71D06D3D"/>
    <w:rsid w:val="74CB4AAD"/>
    <w:rsid w:val="7A0A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D15CAD"/>
    <w:rPr>
      <w:vertAlign w:val="superscript"/>
    </w:rPr>
  </w:style>
  <w:style w:type="paragraph" w:styleId="a4">
    <w:name w:val="footnote text"/>
    <w:basedOn w:val="a"/>
    <w:rsid w:val="00D15CAD"/>
    <w:pPr>
      <w:snapToGrid w:val="0"/>
    </w:pPr>
    <w:rPr>
      <w:sz w:val="18"/>
      <w:szCs w:val="18"/>
    </w:rPr>
  </w:style>
  <w:style w:type="paragraph" w:styleId="a5">
    <w:name w:val="header"/>
    <w:basedOn w:val="a"/>
    <w:rsid w:val="00D15CAD"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rsid w:val="00D15CAD"/>
    <w:pPr>
      <w:ind w:left="28" w:right="13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rsid w:val="00D15CAD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74FF07-BA5E-4733-BB4E-1FA0D2EB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sasa</cp:lastModifiedBy>
  <cp:revision>9</cp:revision>
  <dcterms:created xsi:type="dcterms:W3CDTF">2026-03-29T18:11:00Z</dcterms:created>
  <dcterms:modified xsi:type="dcterms:W3CDTF">2026-03-30T16:41:00Z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FAE28ACB401340DCA65D9E1409507C75_13</vt:lpwstr>
  </property>
</Properties>
</file>